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pStyle w:val="Heading2"/>
        <w:numPr>
          <w:ilvl w:val="1"/>
          <w:numId w:val="2"/>
        </w:numPr>
        <w:tabs>
          <w:tab w:val="left" w:leader="none" w:pos="1134"/>
          <w:tab w:val="left" w:leader="none" w:pos="1134"/>
        </w:tabs>
        <w:ind w:left="1391" w:hanging="360"/>
        <w:rPr/>
      </w:pPr>
      <w:bookmarkStart w:colFirst="0" w:colLast="0" w:name="_heading=h.442khuw7fs9e" w:id="0"/>
      <w:bookmarkEnd w:id="0"/>
      <w:r w:rsidDel="00000000" w:rsidR="00000000" w:rsidRPr="00000000">
        <w:rPr>
          <w:rtl w:val="0"/>
        </w:rPr>
        <w:t xml:space="preserve">The Supplier shall take out and maintain, or procure the taking out and maintenance of the insurances as set out in the Annex to this Schedule, any additional insurances required under a Call-Off Contract (specified in the applicable Order Form) ("Additional Insurances") and any other insurances as may be required by applicable Law (together the “Insurances”).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pStyle w:val="Heading2"/>
        <w:keepNext w:val="1"/>
        <w:numPr>
          <w:ilvl w:val="1"/>
          <w:numId w:val="2"/>
        </w:numPr>
        <w:tabs>
          <w:tab w:val="left" w:leader="none" w:pos="1134"/>
          <w:tab w:val="left" w:leader="none" w:pos="1134"/>
        </w:tabs>
        <w:spacing w:after="120" w:before="120" w:lineRule="auto"/>
        <w:ind w:left="900" w:hanging="540"/>
        <w:jc w:val="left"/>
        <w:rPr/>
      </w:pPr>
      <w:bookmarkStart w:colFirst="0" w:colLast="0" w:name="_heading=h.i4hj0nj52ise" w:id="1"/>
      <w:bookmarkEnd w:id="1"/>
      <w:r w:rsidDel="00000000" w:rsidR="00000000" w:rsidRPr="00000000">
        <w:rPr>
          <w:vertAlign w:val="baseline"/>
          <w:rtl w:val="0"/>
        </w:rPr>
        <w:t xml:space="preserve">The Insurances shall be: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hd w:fill="auto" w:val="clear"/>
          <w:vertAlign w:val="baseline"/>
        </w:rPr>
      </w:pPr>
      <w:bookmarkStart w:colFirst="0" w:colLast="0" w:name="_heading=h.gjdgxs"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p w:rsidR="00000000" w:rsidDel="00000000" w:rsidP="00000000" w:rsidRDefault="00000000" w:rsidRPr="00000000" w14:paraId="00000022">
      <w:pPr>
        <w:pStyle w:val="Heading2"/>
        <w:tabs>
          <w:tab w:val="left" w:leader="none" w:pos="1134"/>
          <w:tab w:val="left" w:leader="none" w:pos="1134"/>
        </w:tabs>
        <w:ind w:left="720" w:firstLine="0"/>
        <w:jc w:val="both"/>
        <w:rPr/>
      </w:pPr>
      <w:bookmarkStart w:colFirst="0" w:colLast="0" w:name="_heading=h.ltbeg4esgeao" w:id="4"/>
      <w:bookmarkEnd w:id="4"/>
      <w:r w:rsidDel="00000000" w:rsidR="00000000" w:rsidRPr="00000000">
        <w:rPr>
          <w:rtl w:val="0"/>
        </w:rPr>
        <w:t xml:space="preserve">1.1 </w:t>
        <w:tab/>
        <w:t xml:space="preserve">Professional indemnity insurance with cover (for a single event or a series of related events and in the aggregate) of not less than one million pounds (£1,000,000) – all Lots. </w:t>
      </w:r>
    </w:p>
    <w:p w:rsidR="00000000" w:rsidDel="00000000" w:rsidP="00000000" w:rsidRDefault="00000000" w:rsidRPr="00000000" w14:paraId="00000023">
      <w:pPr>
        <w:pStyle w:val="Heading2"/>
        <w:tabs>
          <w:tab w:val="left" w:leader="none" w:pos="1134"/>
          <w:tab w:val="left" w:leader="none" w:pos="1134"/>
        </w:tabs>
        <w:ind w:left="720" w:firstLine="0"/>
        <w:jc w:val="both"/>
        <w:rPr/>
      </w:pPr>
      <w:bookmarkStart w:colFirst="0" w:colLast="0" w:name="_heading=h.owkzs66lvjm3" w:id="5"/>
      <w:bookmarkEnd w:id="5"/>
      <w:r w:rsidDel="00000000" w:rsidR="00000000" w:rsidRPr="00000000">
        <w:rPr>
          <w:rtl w:val="0"/>
        </w:rPr>
        <w:t xml:space="preserve">1.2 </w:t>
        <w:tab/>
        <w:t xml:space="preserve">Public liability insurance with cover (for a single event or a series of related events and in the aggregate) of not less than one million pounds (£1,000,000) – all Lots.</w:t>
      </w:r>
    </w:p>
    <w:p w:rsidR="00000000" w:rsidDel="00000000" w:rsidP="00000000" w:rsidRDefault="00000000" w:rsidRPr="00000000" w14:paraId="00000024">
      <w:pPr>
        <w:pStyle w:val="Heading2"/>
        <w:tabs>
          <w:tab w:val="left" w:leader="none" w:pos="1134"/>
          <w:tab w:val="left" w:leader="none" w:pos="1134"/>
        </w:tabs>
        <w:ind w:left="720" w:firstLine="0"/>
        <w:jc w:val="both"/>
        <w:rPr/>
      </w:pPr>
      <w:bookmarkStart w:colFirst="0" w:colLast="0" w:name="_heading=h.nh70ifdm09b4" w:id="6"/>
      <w:bookmarkEnd w:id="6"/>
      <w:r w:rsidDel="00000000" w:rsidR="00000000" w:rsidRPr="00000000">
        <w:rPr>
          <w:rtl w:val="0"/>
        </w:rPr>
        <w:t xml:space="preserve">1.3 </w:t>
        <w:tab/>
        <w:t xml:space="preserve">Employers’ liability insurance with cover (for a single event or a series of related events and in the aggregate) of not less than five million pounds (£5,000,000) – all Lots.</w:t>
      </w:r>
    </w:p>
    <w:p w:rsidR="00000000" w:rsidDel="00000000" w:rsidP="00000000" w:rsidRDefault="00000000" w:rsidRPr="00000000" w14:paraId="00000025">
      <w:pPr>
        <w:tabs>
          <w:tab w:val="left" w:leader="none" w:pos="1134"/>
        </w:tabs>
        <w:ind w:left="720" w:firstLine="0"/>
        <w:rPr/>
      </w:pPr>
      <w:r w:rsidDel="00000000" w:rsidR="00000000" w:rsidRPr="00000000">
        <w:rPr>
          <w:rFonts w:ascii="Arial" w:cs="Arial" w:eastAsia="Arial" w:hAnsi="Arial"/>
          <w:sz w:val="24"/>
          <w:szCs w:val="24"/>
          <w:rtl w:val="0"/>
        </w:rPr>
        <w:t xml:space="preserve">1.4 Product liability insurance with cover (for a single event or a series of related events and in the aggregate) of not less than one million pounds (£1,000,000) – all Lots.</w:t>
      </w:r>
      <w:r w:rsidDel="00000000" w:rsidR="00000000" w:rsidRPr="00000000">
        <w:rPr>
          <w:color w:val="ffffff"/>
          <w:rtl w:val="0"/>
        </w:rPr>
        <w:t xml:space="preserve">1.4 </w:t>
        <w:tab/>
        <w:t xml:space="preserve">product liability insurance with cover (for a single event or a series of related events and in the aggregate) of not less than one million pounds (£1,000,000) – all Lot</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F">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tabs>
        <w:tab w:val="left" w:leader="none" w:pos="1134"/>
      </w:tabs>
      <w:spacing w:after="120" w:before="120" w:lineRule="auto"/>
      <w:ind w:left="900" w:hanging="540"/>
      <w:jc w:val="left"/>
    </w:pPr>
    <w:rPr>
      <w:rFonts w:ascii="Arial" w:cs="Arial" w:eastAsia="Arial" w:hAnsi="Arial"/>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tabs>
        <w:tab w:val="left" w:leader="none" w:pos="1134"/>
      </w:tabs>
      <w:spacing w:after="120" w:before="120" w:lineRule="auto"/>
      <w:ind w:left="900" w:hanging="540"/>
      <w:jc w:val="left"/>
    </w:pPr>
    <w:rPr>
      <w:rFonts w:ascii="Arial" w:cs="Arial" w:eastAsia="Arial" w:hAnsi="Arial"/>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VbmZrWFh8fOfyZ9F7FWunFdMMQ==">CgMxLjAyDmguNDQya2h1dzdmczllMg5oLmk0aGowbmo1MmlzZTIIaC5namRneHMyCWguMzBqMHpsbDIOaC5sdGJlZzRlc2dlYW8yDmgub3drenM2Nmx2am0zMg5oLm5oNzBpZmRtMDliNDgAciExXzRNNE9aVFE0Z2ZOeUlSZTI2ZExwLXhaRkJHSkxPVjc=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